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b/>
          <w:color w:val="auto"/>
          <w:sz w:val="24"/>
          <w:lang w:val="en-US"/>
        </w:rPr>
      </w:pPr>
      <w:r>
        <w:rPr>
          <w:rFonts w:hint="eastAsia"/>
          <w:b/>
          <w:color w:val="auto"/>
          <w:sz w:val="24"/>
          <w:lang w:val="en-US"/>
        </w:rPr>
        <w:t>3GPP TSG-RAN WG3 #124</w:t>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ab/>
      </w:r>
      <w:r>
        <w:rPr>
          <w:rFonts w:hint="eastAsia"/>
          <w:b/>
          <w:color w:val="auto"/>
          <w:sz w:val="24"/>
          <w:lang w:val="en-US"/>
        </w:rPr>
        <w:t xml:space="preserve">          R3-243702</w:t>
      </w:r>
    </w:p>
    <w:p>
      <w:pPr>
        <w:pStyle w:val="2"/>
        <w:rPr>
          <w:rFonts w:hint="eastAsia"/>
          <w:b/>
          <w:color w:val="auto"/>
          <w:sz w:val="24"/>
          <w:lang w:val="en-US"/>
        </w:rPr>
      </w:pPr>
      <w:r>
        <w:rPr>
          <w:rFonts w:hint="eastAsia"/>
          <w:b/>
          <w:color w:val="auto"/>
          <w:sz w:val="24"/>
          <w:lang w:val="en-US"/>
        </w:rPr>
        <w:t>20th – 24th May 2024</w:t>
      </w:r>
    </w:p>
    <w:p>
      <w:pPr>
        <w:pStyle w:val="2"/>
        <w:rPr>
          <w:rFonts w:hint="eastAsia"/>
          <w:b/>
          <w:color w:val="auto"/>
          <w:sz w:val="24"/>
          <w:lang w:val="en-US"/>
        </w:rPr>
      </w:pPr>
      <w:r>
        <w:rPr>
          <w:rFonts w:hint="eastAsia"/>
          <w:b/>
          <w:color w:val="auto"/>
          <w:sz w:val="24"/>
          <w:lang w:val="en-US"/>
        </w:rPr>
        <w:t>Fukuoka, Japan</w:t>
      </w:r>
    </w:p>
    <w:p>
      <w:pPr>
        <w:pStyle w:val="2"/>
      </w:pPr>
    </w:p>
    <w:p>
      <w:pPr>
        <w:spacing w:after="60"/>
        <w:ind w:left="1985" w:hanging="1985"/>
        <w:rPr>
          <w:rFonts w:hint="default" w:eastAsia="宋体"/>
          <w:b/>
          <w:sz w:val="22"/>
          <w:szCs w:val="22"/>
          <w:lang w:val="en-US" w:eastAsia="zh-CN"/>
        </w:rPr>
      </w:pPr>
      <w:r>
        <w:rPr>
          <w:b/>
          <w:sz w:val="22"/>
          <w:szCs w:val="22"/>
        </w:rPr>
        <w:t>Title:</w:t>
      </w:r>
      <w:r>
        <w:rPr>
          <w:b/>
          <w:sz w:val="22"/>
          <w:szCs w:val="22"/>
        </w:rPr>
        <w:tab/>
      </w:r>
      <w:r>
        <w:rPr>
          <w:rFonts w:hint="eastAsia"/>
          <w:b/>
          <w:sz w:val="22"/>
          <w:szCs w:val="22"/>
          <w:lang w:val="en-US" w:eastAsia="zh-CN"/>
        </w:rPr>
        <w:t>[Draft]</w:t>
      </w:r>
      <w:r>
        <w:rPr>
          <w:rFonts w:hint="eastAsia"/>
          <w:b/>
          <w:sz w:val="22"/>
          <w:szCs w:val="22"/>
          <w:lang w:val="en-US" w:eastAsia="zh-CN"/>
        </w:rPr>
        <w:t xml:space="preserve"> Reply LS to RAN2 on </w:t>
      </w:r>
      <w:r>
        <w:rPr>
          <w:rFonts w:hint="eastAsia" w:eastAsia="宋体"/>
          <w:b/>
          <w:sz w:val="22"/>
          <w:szCs w:val="22"/>
          <w:lang w:val="en-US" w:eastAsia="zh-CN"/>
        </w:rPr>
        <w:t>MDT for NPN</w:t>
      </w:r>
    </w:p>
    <w:p>
      <w:pPr>
        <w:spacing w:after="60"/>
        <w:ind w:left="1985" w:hanging="1985"/>
        <w:rPr>
          <w:b/>
          <w:sz w:val="22"/>
          <w:szCs w:val="22"/>
        </w:rPr>
      </w:pPr>
      <w:r>
        <w:rPr>
          <w:b/>
          <w:sz w:val="22"/>
          <w:szCs w:val="22"/>
        </w:rPr>
        <w:t>Release:</w:t>
      </w:r>
      <w:r>
        <w:rPr>
          <w:b/>
          <w:sz w:val="22"/>
          <w:szCs w:val="22"/>
        </w:rPr>
        <w:tab/>
      </w:r>
      <w:r>
        <w:rPr>
          <w:b/>
          <w:sz w:val="22"/>
          <w:szCs w:val="22"/>
        </w:rPr>
        <w:t>Rel-18</w:t>
      </w:r>
    </w:p>
    <w:p>
      <w:pPr>
        <w:spacing w:after="60"/>
        <w:ind w:left="1985" w:hanging="1985"/>
        <w:rPr>
          <w:b/>
          <w:color w:val="000000"/>
          <w:sz w:val="22"/>
          <w:szCs w:val="22"/>
        </w:rPr>
      </w:pPr>
      <w:r>
        <w:rPr>
          <w:b/>
          <w:sz w:val="22"/>
          <w:szCs w:val="22"/>
        </w:rPr>
        <w:t>Work Item:</w:t>
      </w:r>
      <w:r>
        <w:rPr>
          <w:b/>
          <w:sz w:val="22"/>
          <w:szCs w:val="22"/>
        </w:rPr>
        <w:tab/>
      </w:r>
      <w:r>
        <w:rPr>
          <w:rFonts w:hint="eastAsia"/>
          <w:b/>
          <w:sz w:val="22"/>
          <w:szCs w:val="22"/>
        </w:rPr>
        <w:t>NR_ENDC_SON_MDT_enh2-Core</w:t>
      </w:r>
    </w:p>
    <w:p>
      <w:pPr>
        <w:spacing w:after="60"/>
        <w:ind w:left="1985" w:hanging="1985"/>
        <w:rPr>
          <w:rFonts w:hint="default" w:eastAsia="宋体"/>
          <w:b/>
          <w:sz w:val="22"/>
          <w:szCs w:val="22"/>
          <w:highlight w:val="yellow"/>
          <w:lang w:val="en-US" w:eastAsia="zh-CN"/>
        </w:rPr>
      </w:pPr>
      <w:r>
        <w:rPr>
          <w:b/>
          <w:sz w:val="22"/>
          <w:szCs w:val="22"/>
        </w:rPr>
        <w:t>Source:</w:t>
      </w:r>
      <w:r>
        <w:rPr>
          <w:b/>
          <w:sz w:val="22"/>
          <w:szCs w:val="22"/>
        </w:rPr>
        <w:tab/>
      </w:r>
      <w:r>
        <w:rPr>
          <w:rFonts w:hint="eastAsia"/>
          <w:b/>
          <w:sz w:val="22"/>
          <w:szCs w:val="22"/>
          <w:lang w:val="en-US" w:eastAsia="zh-CN"/>
        </w:rPr>
        <w:t>RAN3</w:t>
      </w:r>
      <w:bookmarkStart w:id="0" w:name="_GoBack"/>
      <w:bookmarkEnd w:id="0"/>
    </w:p>
    <w:p>
      <w:pPr>
        <w:spacing w:after="60"/>
        <w:ind w:left="1985" w:hanging="1985"/>
        <w:rPr>
          <w:rFonts w:hint="default" w:eastAsia="宋体"/>
          <w:b/>
          <w:sz w:val="22"/>
          <w:szCs w:val="22"/>
          <w:lang w:val="en-US" w:eastAsia="zh-CN"/>
        </w:rPr>
      </w:pPr>
      <w:r>
        <w:rPr>
          <w:b/>
          <w:sz w:val="22"/>
          <w:szCs w:val="22"/>
          <w:lang w:val="en-US"/>
        </w:rPr>
        <w:t>To:</w:t>
      </w:r>
      <w:r>
        <w:rPr>
          <w:b/>
          <w:sz w:val="22"/>
          <w:szCs w:val="22"/>
          <w:lang w:val="en-US"/>
        </w:rPr>
        <w:tab/>
      </w:r>
      <w:r>
        <w:rPr>
          <w:rFonts w:hint="eastAsia" w:eastAsia="宋体"/>
          <w:b/>
          <w:sz w:val="22"/>
          <w:szCs w:val="22"/>
          <w:lang w:val="en-US" w:eastAsia="zh-CN"/>
        </w:rPr>
        <w:t>RAN2</w:t>
      </w:r>
    </w:p>
    <w:p>
      <w:pPr>
        <w:spacing w:after="60"/>
        <w:ind w:left="1985" w:hanging="1985"/>
        <w:rPr>
          <w:rFonts w:hint="default"/>
          <w:b/>
          <w:color w:val="000000"/>
          <w:sz w:val="22"/>
          <w:szCs w:val="22"/>
          <w:lang w:val="en-US" w:eastAsia="zh-CN"/>
        </w:rPr>
      </w:pPr>
      <w:r>
        <w:rPr>
          <w:b/>
          <w:sz w:val="22"/>
          <w:szCs w:val="22"/>
          <w:lang w:val="en-US"/>
        </w:rPr>
        <w:t>Cc:</w:t>
      </w:r>
      <w:r>
        <w:rPr>
          <w:b/>
          <w:color w:val="000000"/>
          <w:sz w:val="22"/>
          <w:szCs w:val="22"/>
          <w:lang w:val="en-US"/>
        </w:rPr>
        <w:tab/>
      </w:r>
      <w:r>
        <w:rPr>
          <w:rFonts w:hint="eastAsia"/>
          <w:b/>
          <w:color w:val="000000"/>
          <w:sz w:val="22"/>
          <w:szCs w:val="22"/>
          <w:lang w:val="en-US" w:eastAsia="zh-CN"/>
        </w:rPr>
        <w:t>SA2, SA5</w:t>
      </w:r>
    </w:p>
    <w:p>
      <w:pPr>
        <w:pStyle w:val="2"/>
      </w:pPr>
    </w:p>
    <w:p>
      <w:pPr>
        <w:pStyle w:val="233"/>
        <w:tabs>
          <w:tab w:val="clear" w:pos="2268"/>
        </w:tabs>
        <w:overflowPunct/>
        <w:autoSpaceDE/>
        <w:autoSpaceDN/>
        <w:adjustRightInd/>
        <w:ind w:firstLine="0"/>
        <w:textAlignment w:val="auto"/>
        <w:rPr>
          <w:rFonts w:ascii="Times New Roman" w:hAnsi="Times New Roman" w:eastAsia="宋体"/>
          <w:bCs/>
          <w:color w:val="000000"/>
        </w:rPr>
      </w:pPr>
      <w:r>
        <w:rPr>
          <w:rFonts w:ascii="Times New Roman" w:hAnsi="Times New Roman" w:eastAsia="宋体"/>
          <w:color w:val="000000"/>
        </w:rPr>
        <w:t>Contact Person:</w:t>
      </w:r>
      <w:r>
        <w:rPr>
          <w:rFonts w:ascii="Times New Roman" w:hAnsi="Times New Roman" w:eastAsia="宋体"/>
          <w:color w:val="000000"/>
        </w:rPr>
        <w:tab/>
      </w:r>
      <w:r>
        <w:rPr>
          <w:rFonts w:hint="eastAsia"/>
          <w:color w:val="000000"/>
          <w:lang w:val="en-US" w:eastAsia="zh-CN"/>
        </w:rPr>
        <w:t>Dapeng</w:t>
      </w:r>
      <w:r>
        <w:rPr>
          <w:rFonts w:hint="eastAsia" w:ascii="Times New Roman" w:hAnsi="Times New Roman" w:eastAsia="宋体"/>
          <w:color w:val="000000"/>
          <w:lang w:val="en-US" w:eastAsia="zh-CN"/>
        </w:rPr>
        <w:t xml:space="preserve"> </w:t>
      </w:r>
      <w:r>
        <w:rPr>
          <w:rFonts w:hint="eastAsia"/>
          <w:color w:val="000000"/>
          <w:lang w:val="en-US" w:eastAsia="zh-CN"/>
        </w:rPr>
        <w:t>Li</w:t>
      </w:r>
    </w:p>
    <w:p>
      <w:pPr>
        <w:pStyle w:val="233"/>
        <w:tabs>
          <w:tab w:val="clear" w:pos="2268"/>
        </w:tabs>
        <w:overflowPunct/>
        <w:autoSpaceDE/>
        <w:autoSpaceDN/>
        <w:adjustRightInd/>
        <w:ind w:firstLine="0"/>
        <w:textAlignment w:val="auto"/>
        <w:rPr>
          <w:rFonts w:ascii="Times New Roman" w:hAnsi="Times New Roman" w:eastAsia="宋体"/>
          <w:bCs/>
          <w:color w:val="000000"/>
        </w:rPr>
      </w:pPr>
      <w:r>
        <w:rPr>
          <w:rFonts w:ascii="Times New Roman" w:hAnsi="Times New Roman" w:eastAsia="宋体"/>
          <w:color w:val="000000"/>
        </w:rPr>
        <w:t>E-mail Address:</w:t>
      </w:r>
      <w:r>
        <w:rPr>
          <w:rFonts w:ascii="Times New Roman" w:hAnsi="Times New Roman" w:eastAsia="宋体"/>
          <w:bCs/>
          <w:color w:val="000000"/>
        </w:rPr>
        <w:tab/>
      </w:r>
      <w:r>
        <w:rPr>
          <w:rFonts w:hint="eastAsia" w:ascii="Times New Roman" w:hAnsi="Times New Roman" w:eastAsia="宋体"/>
          <w:bCs/>
          <w:color w:val="000000"/>
          <w:lang w:val="en-US" w:eastAsia="zh-CN"/>
        </w:rPr>
        <w:t>li.dapeng@zte.com.cn</w:t>
      </w:r>
    </w:p>
    <w:p>
      <w:pPr>
        <w:overflowPunct/>
        <w:autoSpaceDE/>
        <w:autoSpaceDN/>
        <w:adjustRightInd/>
        <w:spacing w:after="60"/>
        <w:ind w:left="1985" w:hanging="1985"/>
        <w:textAlignment w:val="auto"/>
        <w:rPr>
          <w:rFonts w:ascii="Arial" w:hAnsi="Arial" w:eastAsia="宋体" w:cs="Arial"/>
          <w:b/>
          <w:lang w:eastAsia="en-US"/>
        </w:rPr>
      </w:pPr>
    </w:p>
    <w:p>
      <w:pPr>
        <w:tabs>
          <w:tab w:val="left" w:pos="2268"/>
        </w:tabs>
        <w:overflowPunct/>
        <w:autoSpaceDE/>
        <w:autoSpaceDN/>
        <w:adjustRightInd/>
        <w:textAlignment w:val="auto"/>
        <w:rPr>
          <w:rFonts w:ascii="Arial" w:hAnsi="Arial" w:eastAsia="宋体" w:cs="Arial"/>
          <w:b/>
          <w:lang w:eastAsia="en-US"/>
        </w:rPr>
      </w:pPr>
      <w:r>
        <w:rPr>
          <w:rFonts w:ascii="Arial" w:hAnsi="Arial" w:eastAsia="宋体" w:cs="Arial"/>
          <w:b/>
          <w:lang w:eastAsia="en-US"/>
        </w:rPr>
        <w:t>Send any reply LS to:</w:t>
      </w:r>
      <w:r>
        <w:rPr>
          <w:rFonts w:ascii="Arial" w:hAnsi="Arial" w:eastAsia="宋体" w:cs="Arial"/>
          <w:b/>
          <w:lang w:eastAsia="en-US"/>
        </w:rPr>
        <w:tab/>
      </w:r>
      <w:r>
        <w:rPr>
          <w:rFonts w:ascii="Arial" w:hAnsi="Arial" w:eastAsia="宋体" w:cs="Arial"/>
          <w:b/>
          <w:lang w:eastAsia="en-US"/>
        </w:rPr>
        <w:t xml:space="preserve">3GPP Liaisons Coordinator, </w:t>
      </w:r>
      <w:r>
        <w:rPr>
          <w:rFonts w:ascii="Times New Roman" w:hAnsi="Times New Roman" w:eastAsia="宋体" w:cs="Times New Roman"/>
          <w:lang w:eastAsia="en-US"/>
        </w:rPr>
        <w:fldChar w:fldCharType="begin"/>
      </w:r>
      <w:r>
        <w:rPr>
          <w:rFonts w:ascii="Times New Roman" w:hAnsi="Times New Roman" w:eastAsia="宋体" w:cs="Times New Roman"/>
          <w:lang w:eastAsia="en-US"/>
        </w:rPr>
        <w:instrText xml:space="preserve"> HYPERLINK "mailto:3GPPLiaison@etsi.org" </w:instrText>
      </w:r>
      <w:r>
        <w:rPr>
          <w:rFonts w:ascii="Times New Roman" w:hAnsi="Times New Roman" w:eastAsia="宋体" w:cs="Times New Roman"/>
          <w:lang w:eastAsia="en-US"/>
        </w:rPr>
        <w:fldChar w:fldCharType="separate"/>
      </w:r>
      <w:r>
        <w:rPr>
          <w:rFonts w:ascii="Arial" w:hAnsi="Arial" w:eastAsia="宋体" w:cs="Arial"/>
          <w:b/>
          <w:color w:val="35A1D4"/>
          <w:u w:val="single"/>
          <w:lang w:eastAsia="en-US"/>
        </w:rPr>
        <w:t>mailto:3GPPLiaison@etsi.org</w:t>
      </w:r>
      <w:r>
        <w:rPr>
          <w:rFonts w:ascii="Arial" w:hAnsi="Arial" w:eastAsia="宋体" w:cs="Arial"/>
          <w:b/>
          <w:color w:val="35A1D4"/>
          <w:u w:val="single"/>
          <w:lang w:eastAsia="en-US"/>
        </w:rPr>
        <w:fldChar w:fldCharType="end"/>
      </w:r>
      <w:r>
        <w:rPr>
          <w:rFonts w:ascii="Arial" w:hAnsi="Arial" w:eastAsia="宋体" w:cs="Arial"/>
          <w:b/>
          <w:lang w:eastAsia="en-US"/>
        </w:rPr>
        <w:t xml:space="preserve"> </w:t>
      </w:r>
      <w:r>
        <w:rPr>
          <w:rFonts w:ascii="Arial" w:hAnsi="Arial" w:eastAsia="宋体" w:cs="Arial"/>
          <w:bCs/>
          <w:lang w:eastAsia="en-US"/>
        </w:rPr>
        <w:tab/>
      </w:r>
    </w:p>
    <w:p>
      <w:pPr>
        <w:pStyle w:val="2"/>
      </w:pP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pStyle w:val="38"/>
        <w:tabs>
          <w:tab w:val="center" w:pos="4153"/>
          <w:tab w:val="right" w:pos="8306"/>
        </w:tabs>
        <w:rPr>
          <w:rFonts w:hint="eastAsia"/>
          <w:b w:val="0"/>
          <w:sz w:val="20"/>
          <w:lang w:val="en-US" w:eastAsia="zh-CN"/>
        </w:rPr>
      </w:pPr>
      <w:r>
        <w:rPr>
          <w:rFonts w:hint="eastAsia"/>
          <w:b w:val="0"/>
          <w:sz w:val="20"/>
          <w:lang w:eastAsia="zh-CN"/>
        </w:rPr>
        <w:t>RAN</w:t>
      </w:r>
      <w:r>
        <w:rPr>
          <w:rFonts w:hint="eastAsia"/>
          <w:b w:val="0"/>
          <w:sz w:val="20"/>
          <w:lang w:val="en-US" w:eastAsia="zh-CN"/>
        </w:rPr>
        <w:t>3</w:t>
      </w:r>
      <w:r>
        <w:rPr>
          <w:rFonts w:hint="eastAsia"/>
          <w:b w:val="0"/>
          <w:sz w:val="20"/>
          <w:lang w:eastAsia="zh-CN"/>
        </w:rPr>
        <w:t xml:space="preserve"> </w:t>
      </w:r>
      <w:r>
        <w:rPr>
          <w:rFonts w:hint="eastAsia"/>
          <w:b w:val="0"/>
          <w:sz w:val="20"/>
          <w:lang w:val="en-US" w:eastAsia="zh-CN"/>
        </w:rPr>
        <w:t>t</w:t>
      </w:r>
      <w:r>
        <w:rPr>
          <w:rFonts w:hint="eastAsia"/>
          <w:b w:val="0"/>
          <w:sz w:val="20"/>
          <w:lang w:eastAsia="zh-CN"/>
        </w:rPr>
        <w:t>hank</w:t>
      </w:r>
      <w:r>
        <w:rPr>
          <w:rFonts w:hint="eastAsia"/>
          <w:b w:val="0"/>
          <w:sz w:val="20"/>
          <w:lang w:val="en-US" w:eastAsia="zh-CN"/>
        </w:rPr>
        <w:t>s</w:t>
      </w:r>
      <w:r>
        <w:rPr>
          <w:rFonts w:hint="eastAsia"/>
          <w:b w:val="0"/>
          <w:sz w:val="20"/>
          <w:lang w:eastAsia="zh-CN"/>
        </w:rPr>
        <w:t xml:space="preserve"> </w:t>
      </w:r>
      <w:r>
        <w:rPr>
          <w:rFonts w:hint="eastAsia"/>
          <w:b w:val="0"/>
          <w:sz w:val="20"/>
          <w:lang w:val="en-US" w:eastAsia="zh-CN"/>
        </w:rPr>
        <w:t>RAN2</w:t>
      </w:r>
      <w:r>
        <w:rPr>
          <w:rFonts w:hint="eastAsia"/>
          <w:b w:val="0"/>
          <w:sz w:val="20"/>
          <w:lang w:eastAsia="zh-CN"/>
        </w:rPr>
        <w:t xml:space="preserve"> for the LS on </w:t>
      </w:r>
      <w:r>
        <w:rPr>
          <w:rFonts w:hint="eastAsia"/>
          <w:b w:val="0"/>
          <w:sz w:val="20"/>
          <w:lang w:val="en-US" w:eastAsia="zh-CN"/>
        </w:rPr>
        <w:t>MDT for NPN, and would like to provide answers for the following questions.</w:t>
      </w:r>
    </w:p>
    <w:tbl>
      <w:tblPr>
        <w:tblStyle w:val="50"/>
        <w:tblW w:w="0" w:type="auto"/>
        <w:tblInd w:w="1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27" w:type="dxa"/>
          </w:tcPr>
          <w:p>
            <w:pPr>
              <w:overflowPunct/>
              <w:autoSpaceDE/>
              <w:autoSpaceDN/>
              <w:adjustRightInd/>
              <w:spacing w:before="120" w:beforeLines="50" w:after="120"/>
              <w:textAlignment w:val="auto"/>
              <w:rPr>
                <w:rFonts w:eastAsia="宋体" w:cs="Arial"/>
                <w:b w:val="0"/>
                <w:bCs/>
                <w:i/>
                <w:iCs/>
                <w:lang w:val="en-US" w:eastAsia="zh-CN"/>
              </w:rPr>
            </w:pPr>
            <w:r>
              <w:rPr>
                <w:rFonts w:eastAsia="宋体" w:cs="Arial"/>
                <w:b w:val="0"/>
                <w:bCs/>
                <w:i/>
                <w:iCs/>
                <w:lang w:val="en-US" w:eastAsia="zh-CN"/>
              </w:rPr>
              <w:t>To collect MDT measurements for all the SNPNs, one proposed solution, which was not agreed by RAN2, is that the gNBs can distribute the 256 SNPN identities among different UEs and collect the measurements for all the SNPN identities using multiple UEs. However, this solution may not be working for signaling based MDT wherein only one UE is expected to perform the measurements. Therefore, we have the following questions:</w:t>
            </w:r>
          </w:p>
          <w:p>
            <w:pPr>
              <w:widowControl w:val="0"/>
              <w:numPr>
                <w:ilvl w:val="0"/>
                <w:numId w:val="12"/>
              </w:numPr>
              <w:autoSpaceDE w:val="0"/>
              <w:autoSpaceDN w:val="0"/>
              <w:adjustRightInd w:val="0"/>
              <w:snapToGrid w:val="0"/>
              <w:spacing w:before="120" w:beforeLines="50" w:after="120" w:afterLines="50"/>
              <w:rPr>
                <w:rFonts w:ascii="Arial" w:hAnsi="Arial" w:eastAsia="Batang" w:cs="Arial"/>
                <w:b w:val="0"/>
                <w:bCs/>
                <w:i/>
                <w:iCs/>
                <w:szCs w:val="24"/>
                <w:lang w:val="en-US" w:eastAsia="zh-CN" w:bidi="ar-SA"/>
              </w:rPr>
            </w:pPr>
            <w:r>
              <w:rPr>
                <w:rFonts w:ascii="Arial" w:hAnsi="Arial" w:eastAsia="Batang" w:cs="Arial"/>
                <w:b w:val="0"/>
                <w:bCs/>
                <w:i/>
                <w:iCs/>
                <w:szCs w:val="24"/>
                <w:lang w:val="en-US" w:eastAsia="zh-CN" w:bidi="ar-SA"/>
              </w:rPr>
              <w:t>Does this number of PNI-NPN identities and solution (using/configuring multiple UEs with different pieces of the PNI-NPN identities) fulfil RAN3 expectation on data collection in PNI-NPN network for the management-based MDT?</w:t>
            </w:r>
          </w:p>
          <w:p>
            <w:pPr>
              <w:widowControl w:val="0"/>
              <w:numPr>
                <w:ilvl w:val="0"/>
                <w:numId w:val="12"/>
              </w:numPr>
              <w:autoSpaceDE w:val="0"/>
              <w:autoSpaceDN w:val="0"/>
              <w:adjustRightInd w:val="0"/>
              <w:snapToGrid w:val="0"/>
              <w:spacing w:before="120" w:beforeLines="50" w:after="120" w:afterLines="50"/>
              <w:rPr>
                <w:rFonts w:ascii="Arial" w:hAnsi="Arial" w:eastAsia="Batang" w:cs="Arial"/>
                <w:b w:val="0"/>
                <w:bCs/>
                <w:i/>
                <w:iCs/>
                <w:szCs w:val="24"/>
                <w:lang w:val="en-US" w:eastAsia="zh-CN" w:bidi="ar-SA"/>
              </w:rPr>
            </w:pPr>
            <w:r>
              <w:rPr>
                <w:rFonts w:ascii="Arial" w:hAnsi="Arial" w:eastAsia="Batang" w:cs="Arial"/>
                <w:b w:val="0"/>
                <w:bCs/>
                <w:i/>
                <w:iCs/>
                <w:szCs w:val="24"/>
                <w:lang w:val="en-US" w:eastAsia="zh-CN" w:bidi="ar-SA"/>
              </w:rPr>
              <w:t xml:space="preserve">Assuming that the above solution is acceptable for management-based MDT, what solution for signaling based MDT collection in PNI-NPN networks is suggested? </w:t>
            </w:r>
          </w:p>
          <w:p>
            <w:pPr>
              <w:widowControl w:val="0"/>
              <w:numPr>
                <w:ilvl w:val="0"/>
                <w:numId w:val="12"/>
              </w:numPr>
              <w:autoSpaceDE w:val="0"/>
              <w:autoSpaceDN w:val="0"/>
              <w:adjustRightInd w:val="0"/>
              <w:snapToGrid w:val="0"/>
              <w:spacing w:before="120" w:beforeLines="50" w:after="120" w:afterLines="50"/>
              <w:rPr>
                <w:rFonts w:hint="default"/>
                <w:b w:val="0"/>
                <w:sz w:val="20"/>
                <w:vertAlign w:val="baseline"/>
                <w:lang w:val="en-US" w:eastAsia="zh-CN"/>
              </w:rPr>
            </w:pPr>
            <w:r>
              <w:rPr>
                <w:rFonts w:ascii="Arial" w:hAnsi="Arial" w:eastAsia="Batang" w:cs="Arial"/>
                <w:b w:val="0"/>
                <w:bCs/>
                <w:i/>
                <w:iCs/>
                <w:szCs w:val="24"/>
                <w:lang w:val="en-US" w:eastAsia="zh-CN" w:bidi="ar-SA"/>
              </w:rPr>
              <w:t>If the solution above is not acceptable, what is the acceptable maximum number of PNI-NPN identities in the MDT configuration?</w:t>
            </w:r>
          </w:p>
        </w:tc>
      </w:tr>
    </w:tbl>
    <w:p>
      <w:pPr>
        <w:pStyle w:val="38"/>
        <w:tabs>
          <w:tab w:val="center" w:pos="4153"/>
          <w:tab w:val="right" w:pos="8306"/>
        </w:tabs>
        <w:rPr>
          <w:rFonts w:hint="default"/>
          <w:b w:val="0"/>
          <w:sz w:val="20"/>
          <w:lang w:val="en-US" w:eastAsia="zh-CN"/>
        </w:rPr>
      </w:pPr>
    </w:p>
    <w:p>
      <w:pPr>
        <w:pStyle w:val="2"/>
        <w:rPr>
          <w:rFonts w:hint="eastAsia" w:ascii="Arial" w:hAnsi="Arial" w:eastAsia="宋体" w:cs="Arial"/>
          <w:b/>
          <w:bCs w:val="0"/>
          <w:color w:val="auto"/>
          <w:lang w:val="en-US" w:eastAsia="zh-CN" w:bidi="ar-SA"/>
        </w:rPr>
      </w:pPr>
      <w:r>
        <w:rPr>
          <w:rFonts w:hint="eastAsia" w:ascii="Arial" w:hAnsi="Arial" w:eastAsia="宋体" w:cs="Arial"/>
          <w:b/>
          <w:bCs w:val="0"/>
          <w:color w:val="auto"/>
          <w:lang w:val="en-US" w:eastAsia="zh-CN" w:bidi="ar-SA"/>
        </w:rPr>
        <w:t xml:space="preserve">RAN3's Answer: RAN3 thinks the above solution for management-based MDT in PNI-NPN networks is acceptable. However, RAN3 does not currently have a solution for signaling-based MDT. This issue has been discussed by RAN3, and it was agreed to revise the maximum number of PNI-NPN identities in the MDT configuration to 128. The corresponding </w:t>
      </w:r>
      <w:r>
        <w:rPr>
          <w:rFonts w:hint="eastAsia" w:eastAsia="宋体" w:cs="Arial"/>
          <w:b/>
          <w:bCs w:val="0"/>
          <w:color w:val="auto"/>
          <w:lang w:val="en-US" w:eastAsia="zh-CN" w:bidi="ar-SA"/>
        </w:rPr>
        <w:t xml:space="preserve">RAN3 </w:t>
      </w:r>
      <w:r>
        <w:rPr>
          <w:rFonts w:hint="eastAsia" w:ascii="Arial" w:hAnsi="Arial" w:eastAsia="宋体" w:cs="Arial"/>
          <w:b/>
          <w:bCs w:val="0"/>
          <w:color w:val="auto"/>
          <w:lang w:val="en-US" w:eastAsia="zh-CN" w:bidi="ar-SA"/>
        </w:rPr>
        <w:t>CRs are provided in the attached files. RAN3 would like to ask if RAN2 thinks this number acceptable.</w:t>
      </w:r>
    </w:p>
    <w:p>
      <w:pPr>
        <w:pStyle w:val="2"/>
        <w:rPr>
          <w:rFonts w:hint="default" w:ascii="Arial" w:hAnsi="Arial" w:eastAsia="宋体" w:cs="Arial"/>
          <w:b/>
          <w:bCs w:val="0"/>
          <w:color w:val="auto"/>
          <w:lang w:val="en-US" w:eastAsia="zh-CN" w:bidi="ar-SA"/>
        </w:rPr>
      </w:pPr>
    </w:p>
    <w:tbl>
      <w:tblPr>
        <w:tblStyle w:val="50"/>
        <w:tblW w:w="0" w:type="auto"/>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5" w:type="dxa"/>
          </w:tcPr>
          <w:p>
            <w:pPr>
              <w:overflowPunct/>
              <w:autoSpaceDE/>
              <w:autoSpaceDN/>
              <w:adjustRightInd/>
              <w:spacing w:before="120" w:beforeLines="50" w:after="120"/>
              <w:textAlignment w:val="auto"/>
              <w:rPr>
                <w:rFonts w:eastAsia="宋体" w:cs="Arial"/>
                <w:b w:val="0"/>
                <w:bCs/>
                <w:i/>
                <w:iCs/>
                <w:lang w:val="en-US" w:eastAsia="zh-CN"/>
              </w:rPr>
            </w:pPr>
            <w:r>
              <w:rPr>
                <w:rFonts w:eastAsia="宋体" w:cs="Arial"/>
                <w:b w:val="0"/>
                <w:bCs/>
                <w:i/>
                <w:iCs/>
                <w:lang w:val="en-US" w:eastAsia="zh-CN"/>
              </w:rPr>
              <w:t>In legacy MDT (Rel-17 MDT) the plmn-IdentityList is used to configure the UE with the PLMNs in which the UE is allowed to collect the MDT measurement and report the collected MDT measurements to the configured PLMNs in the plmn-IdentityList. RAN2 understanding is that plmn-IdentityList is configured based on the provided user consent. We have not discussed the use of plmn-IdentityList for the SNPN networks. Therefore, we have the following questions:</w:t>
            </w:r>
          </w:p>
          <w:p>
            <w:pPr>
              <w:widowControl w:val="0"/>
              <w:numPr>
                <w:ilvl w:val="0"/>
                <w:numId w:val="12"/>
              </w:numPr>
              <w:autoSpaceDE w:val="0"/>
              <w:autoSpaceDN w:val="0"/>
              <w:adjustRightInd w:val="0"/>
              <w:snapToGrid w:val="0"/>
              <w:spacing w:before="120" w:beforeLines="50" w:after="120" w:afterLines="50"/>
              <w:rPr>
                <w:rFonts w:ascii="Arial" w:hAnsi="Arial" w:eastAsia="Batang" w:cs="Arial"/>
                <w:b w:val="0"/>
                <w:bCs/>
                <w:i/>
                <w:iCs/>
                <w:szCs w:val="24"/>
                <w:lang w:val="en-US" w:eastAsia="zh-CN" w:bidi="ar-SA"/>
              </w:rPr>
            </w:pPr>
            <w:r>
              <w:rPr>
                <w:rFonts w:ascii="Arial" w:hAnsi="Arial" w:eastAsia="Batang" w:cs="Arial"/>
                <w:b w:val="0"/>
                <w:bCs/>
                <w:i/>
                <w:iCs/>
                <w:szCs w:val="24"/>
                <w:lang w:val="en-US" w:eastAsia="zh-CN" w:bidi="ar-SA"/>
              </w:rPr>
              <w:t>RAN2 would like to ask RAN3 whether the existing plmn-IdentityList can be also configured for logged MDT measurements in SNPN networks?</w:t>
            </w:r>
          </w:p>
          <w:p>
            <w:pPr>
              <w:widowControl w:val="0"/>
              <w:numPr>
                <w:ilvl w:val="0"/>
                <w:numId w:val="12"/>
              </w:numPr>
              <w:autoSpaceDE w:val="0"/>
              <w:autoSpaceDN w:val="0"/>
              <w:adjustRightInd w:val="0"/>
              <w:snapToGrid w:val="0"/>
              <w:spacing w:before="120" w:beforeLines="50" w:after="120" w:afterLines="50"/>
              <w:rPr>
                <w:rFonts w:ascii="Arial" w:hAnsi="Arial" w:eastAsia="Batang" w:cs="Arial"/>
                <w:b w:val="0"/>
                <w:bCs/>
                <w:i/>
                <w:iCs/>
                <w:szCs w:val="24"/>
                <w:lang w:val="en-US" w:eastAsia="zh-CN" w:bidi="ar-SA"/>
              </w:rPr>
            </w:pPr>
            <w:r>
              <w:rPr>
                <w:rFonts w:ascii="Arial" w:hAnsi="Arial" w:eastAsia="Batang" w:cs="Arial"/>
                <w:b w:val="0"/>
                <w:bCs/>
                <w:i/>
                <w:iCs/>
                <w:szCs w:val="24"/>
                <w:lang w:val="en-US" w:eastAsia="zh-CN" w:bidi="ar-SA"/>
              </w:rPr>
              <w:t>If it is configured RAN2 would like to ask RAN3 whether the UE can report SNPN MDT measurements to the PLMNs configured within plmn-IdentityList?</w:t>
            </w:r>
          </w:p>
          <w:p>
            <w:pPr>
              <w:pStyle w:val="2"/>
              <w:rPr>
                <w:rFonts w:hint="default" w:cs="Times New Roman"/>
                <w:color w:val="auto"/>
                <w:vertAlign w:val="baseline"/>
                <w:lang w:val="en-US" w:eastAsia="zh-CN" w:bidi="ar-SA"/>
              </w:rPr>
            </w:pPr>
          </w:p>
        </w:tc>
      </w:tr>
    </w:tbl>
    <w:p>
      <w:pPr>
        <w:pStyle w:val="2"/>
        <w:rPr>
          <w:rFonts w:hint="default" w:cs="Times New Roman"/>
          <w:color w:val="auto"/>
          <w:lang w:val="en-US" w:eastAsia="zh-CN" w:bidi="ar-SA"/>
        </w:rPr>
      </w:pPr>
    </w:p>
    <w:p>
      <w:pPr>
        <w:pStyle w:val="2"/>
        <w:rPr>
          <w:rFonts w:hint="eastAsia" w:ascii="Arial" w:hAnsi="Arial" w:eastAsia="宋体" w:cs="Arial"/>
          <w:b/>
          <w:bCs w:val="0"/>
          <w:color w:val="auto"/>
          <w:lang w:val="en-US" w:eastAsia="zh-CN" w:bidi="ar-SA"/>
        </w:rPr>
      </w:pPr>
      <w:r>
        <w:rPr>
          <w:rFonts w:hint="eastAsia" w:ascii="Arial" w:hAnsi="Arial" w:eastAsia="宋体" w:cs="Arial"/>
          <w:b/>
          <w:bCs w:val="0"/>
          <w:color w:val="auto"/>
          <w:lang w:val="en-US" w:eastAsia="zh-CN" w:bidi="ar-SA"/>
        </w:rPr>
        <w:t xml:space="preserve">RAN3's Answer: </w:t>
      </w:r>
    </w:p>
    <w:p>
      <w:pPr>
        <w:pStyle w:val="2"/>
        <w:rPr>
          <w:rFonts w:hint="eastAsia" w:eastAsia="宋体" w:cs="Arial"/>
          <w:b/>
          <w:bCs w:val="0"/>
          <w:color w:val="auto"/>
          <w:lang w:val="en-US" w:eastAsia="zh-CN" w:bidi="ar-SA"/>
        </w:rPr>
      </w:pPr>
      <w:r>
        <w:rPr>
          <w:rFonts w:hint="eastAsia" w:eastAsia="宋体" w:cs="Arial"/>
          <w:b/>
          <w:bCs w:val="0"/>
          <w:color w:val="auto"/>
          <w:lang w:val="en-US" w:eastAsia="zh-CN" w:bidi="ar-SA"/>
        </w:rPr>
        <w:t xml:space="preserve">For question D), </w:t>
      </w:r>
      <w:r>
        <w:rPr>
          <w:rFonts w:hint="default" w:eastAsia="宋体" w:cs="Arial"/>
          <w:b/>
          <w:bCs w:val="0"/>
          <w:color w:val="auto"/>
          <w:lang w:val="en-US" w:eastAsia="zh-CN" w:bidi="ar-SA"/>
        </w:rPr>
        <w:t>in Rel</w:t>
      </w:r>
      <w:r>
        <w:rPr>
          <w:rFonts w:hint="eastAsia" w:eastAsia="宋体" w:cs="Arial"/>
          <w:b/>
          <w:bCs w:val="0"/>
          <w:color w:val="auto"/>
          <w:lang w:val="en-US" w:eastAsia="zh-CN" w:bidi="ar-SA"/>
        </w:rPr>
        <w:t>-</w:t>
      </w:r>
      <w:r>
        <w:rPr>
          <w:rFonts w:hint="default" w:eastAsia="宋体" w:cs="Arial"/>
          <w:b/>
          <w:bCs w:val="0"/>
          <w:color w:val="auto"/>
          <w:lang w:val="en-US" w:eastAsia="zh-CN" w:bidi="ar-SA"/>
        </w:rPr>
        <w:t>18</w:t>
      </w:r>
      <w:r>
        <w:rPr>
          <w:rFonts w:hint="eastAsia" w:eastAsia="宋体" w:cs="Arial"/>
          <w:b/>
          <w:bCs w:val="0"/>
          <w:color w:val="auto"/>
          <w:lang w:val="en-US" w:eastAsia="zh-CN" w:bidi="ar-SA"/>
        </w:rPr>
        <w:t xml:space="preserve">, </w:t>
      </w:r>
      <w:r>
        <w:rPr>
          <w:rFonts w:hint="eastAsia" w:ascii="Arial" w:hAnsi="Arial" w:eastAsia="宋体" w:cs="Arial"/>
          <w:b/>
          <w:bCs w:val="0"/>
          <w:color w:val="auto"/>
          <w:lang w:val="en-US" w:eastAsia="zh-CN" w:bidi="ar-SA"/>
        </w:rPr>
        <w:t>RAN3</w:t>
      </w:r>
      <w:r>
        <w:rPr>
          <w:rFonts w:hint="eastAsia" w:eastAsia="宋体" w:cs="Arial"/>
          <w:b/>
          <w:bCs w:val="0"/>
          <w:color w:val="auto"/>
          <w:lang w:val="en-US" w:eastAsia="zh-CN" w:bidi="ar-SA"/>
        </w:rPr>
        <w:t xml:space="preserve"> has sent a </w:t>
      </w:r>
      <w:r>
        <w:rPr>
          <w:rFonts w:hint="eastAsia" w:ascii="Arial" w:hAnsi="Arial" w:eastAsia="宋体" w:cs="Arial"/>
          <w:b/>
          <w:bCs w:val="0"/>
          <w:color w:val="auto"/>
          <w:lang w:val="en-US" w:eastAsia="zh-CN" w:bidi="ar-SA"/>
        </w:rPr>
        <w:t xml:space="preserve">LS </w:t>
      </w:r>
      <w:r>
        <w:rPr>
          <w:rFonts w:hint="eastAsia" w:eastAsia="宋体" w:cs="Arial"/>
          <w:b/>
          <w:bCs w:val="0"/>
          <w:color w:val="auto"/>
          <w:lang w:val="en-US" w:eastAsia="zh-CN" w:bidi="ar-SA"/>
        </w:rPr>
        <w:t xml:space="preserve">to SA3 </w:t>
      </w:r>
      <w:r>
        <w:rPr>
          <w:rFonts w:hint="eastAsia" w:ascii="Arial" w:hAnsi="Arial" w:eastAsia="宋体" w:cs="Arial"/>
          <w:b/>
          <w:bCs w:val="0"/>
          <w:color w:val="auto"/>
          <w:lang w:val="en-US" w:eastAsia="zh-CN" w:bidi="ar-SA"/>
        </w:rPr>
        <w:t>on user consent of non-public network in R3-226006</w:t>
      </w:r>
      <w:r>
        <w:rPr>
          <w:rFonts w:hint="eastAsia" w:eastAsia="宋体" w:cs="Arial"/>
          <w:b/>
          <w:bCs w:val="0"/>
          <w:color w:val="auto"/>
          <w:lang w:val="en-US" w:eastAsia="zh-CN" w:bidi="ar-SA"/>
        </w:rPr>
        <w:t>, SA3 has responded to this LS in S3-231399/R3-230870.In their reply, SA3 highlighted that they have not identified any requirement for MDT user consent within SNPN networks. (The LS and reply LS are included in the attached files). Therefore, there is no necessity to configure the plmn-IdentityList for logged MDT measurements within SNPN networks.</w:t>
      </w:r>
    </w:p>
    <w:p>
      <w:pPr>
        <w:pStyle w:val="2"/>
        <w:rPr>
          <w:rFonts w:hint="eastAsia" w:eastAsia="宋体" w:cs="Arial"/>
          <w:b/>
          <w:bCs w:val="0"/>
          <w:color w:val="auto"/>
          <w:lang w:val="en-US" w:eastAsia="zh-CN" w:bidi="ar-SA"/>
        </w:rPr>
      </w:pPr>
      <w:r>
        <w:rPr>
          <w:rFonts w:hint="eastAsia" w:eastAsia="宋体" w:cs="Arial"/>
          <w:b/>
          <w:bCs w:val="0"/>
          <w:color w:val="auto"/>
          <w:lang w:val="en-US" w:eastAsia="zh-CN" w:bidi="ar-SA"/>
        </w:rPr>
        <w:t xml:space="preserve">For question E), </w:t>
      </w:r>
      <w:r>
        <w:rPr>
          <w:rFonts w:hint="default" w:eastAsia="宋体" w:cs="Arial"/>
          <w:b/>
          <w:bCs w:val="0"/>
          <w:color w:val="auto"/>
          <w:lang w:val="en-US" w:eastAsia="zh-CN" w:bidi="ar-SA"/>
        </w:rPr>
        <w:t>in Rel</w:t>
      </w:r>
      <w:r>
        <w:rPr>
          <w:rFonts w:hint="eastAsia" w:eastAsia="宋体" w:cs="Arial"/>
          <w:b/>
          <w:bCs w:val="0"/>
          <w:color w:val="auto"/>
          <w:lang w:val="en-US" w:eastAsia="zh-CN" w:bidi="ar-SA"/>
        </w:rPr>
        <w:t>-</w:t>
      </w:r>
      <w:r>
        <w:rPr>
          <w:rFonts w:hint="default" w:eastAsia="宋体" w:cs="Arial"/>
          <w:b/>
          <w:bCs w:val="0"/>
          <w:color w:val="auto"/>
          <w:lang w:val="en-US" w:eastAsia="zh-CN" w:bidi="ar-SA"/>
        </w:rPr>
        <w:t>18, RAN3 discusse</w:t>
      </w:r>
      <w:r>
        <w:rPr>
          <w:rFonts w:hint="eastAsia" w:eastAsia="宋体" w:cs="Arial"/>
          <w:b/>
          <w:bCs w:val="0"/>
          <w:color w:val="auto"/>
          <w:lang w:val="en-US" w:eastAsia="zh-CN" w:bidi="ar-SA"/>
        </w:rPr>
        <w:t>d</w:t>
      </w:r>
      <w:r>
        <w:rPr>
          <w:rFonts w:hint="default" w:eastAsia="宋体" w:cs="Arial"/>
          <w:b/>
          <w:bCs w:val="0"/>
          <w:color w:val="auto"/>
          <w:lang w:val="en-US" w:eastAsia="zh-CN" w:bidi="ar-SA"/>
        </w:rPr>
        <w:t xml:space="preserve"> the issue that logged MDT reports collected in an SNPN </w:t>
      </w:r>
      <w:r>
        <w:rPr>
          <w:rFonts w:hint="eastAsia" w:eastAsia="宋体" w:cs="Arial"/>
          <w:b/>
          <w:bCs w:val="0"/>
          <w:color w:val="auto"/>
          <w:lang w:val="en-US" w:eastAsia="zh-CN" w:bidi="ar-SA"/>
        </w:rPr>
        <w:t xml:space="preserve">would </w:t>
      </w:r>
      <w:r>
        <w:rPr>
          <w:rFonts w:hint="default" w:eastAsia="宋体" w:cs="Arial"/>
          <w:b/>
          <w:bCs w:val="0"/>
          <w:color w:val="auto"/>
          <w:lang w:val="en-US" w:eastAsia="zh-CN" w:bidi="ar-SA"/>
        </w:rPr>
        <w:t xml:space="preserve">be lost when the UE moves to a Public Network for a long period. </w:t>
      </w:r>
      <w:r>
        <w:rPr>
          <w:rFonts w:hint="eastAsia" w:eastAsia="宋体" w:cs="Arial"/>
          <w:b/>
          <w:bCs w:val="0"/>
          <w:color w:val="auto"/>
          <w:lang w:val="en-US" w:eastAsia="zh-CN" w:bidi="ar-SA"/>
        </w:rPr>
        <w:t xml:space="preserve">Since equivalent SNPNs are supported in Rel-18, </w:t>
      </w:r>
      <w:r>
        <w:rPr>
          <w:rFonts w:hint="default" w:eastAsia="宋体" w:cs="Arial"/>
          <w:b/>
          <w:bCs w:val="0"/>
          <w:color w:val="auto"/>
          <w:lang w:val="en-US" w:eastAsia="zh-CN" w:bidi="ar-SA"/>
        </w:rPr>
        <w:t xml:space="preserve">RAN3 thinks that the UE could report </w:t>
      </w:r>
      <w:r>
        <w:rPr>
          <w:rFonts w:hint="eastAsia" w:eastAsia="宋体" w:cs="Arial"/>
          <w:b/>
          <w:bCs w:val="0"/>
          <w:color w:val="auto"/>
          <w:lang w:val="en-US" w:eastAsia="zh-CN" w:bidi="ar-SA"/>
        </w:rPr>
        <w:t xml:space="preserve">logged SNPN </w:t>
      </w:r>
      <w:r>
        <w:rPr>
          <w:rFonts w:hint="default" w:eastAsia="宋体" w:cs="Arial"/>
          <w:b/>
          <w:bCs w:val="0"/>
          <w:color w:val="auto"/>
          <w:lang w:val="en-US" w:eastAsia="zh-CN" w:bidi="ar-SA"/>
        </w:rPr>
        <w:t>measurements upon returning to an equivalent SNPN. SNPN</w:t>
      </w:r>
      <w:r>
        <w:rPr>
          <w:rFonts w:hint="eastAsia" w:eastAsia="宋体" w:cs="Arial"/>
          <w:b/>
          <w:bCs w:val="0"/>
          <w:color w:val="auto"/>
          <w:lang w:val="en-US" w:eastAsia="zh-CN" w:bidi="ar-SA"/>
        </w:rPr>
        <w:t>s</w:t>
      </w:r>
      <w:r>
        <w:rPr>
          <w:rFonts w:hint="default" w:eastAsia="宋体" w:cs="Arial"/>
          <w:b/>
          <w:bCs w:val="0"/>
          <w:color w:val="auto"/>
          <w:lang w:val="en-US" w:eastAsia="zh-CN" w:bidi="ar-SA"/>
        </w:rPr>
        <w:t xml:space="preserve"> could also proactively request and retrieve the MDT reports to prevent report loss. From RAN3’s perspective, there is no need to configure the plmn-IdentityList to signal the UE to report SNPN MDT measurements to the corresponding PLMNs. However, the method for retrieving the SNPN MDT report is up to RAN2’s decision</w:t>
      </w:r>
      <w:r>
        <w:rPr>
          <w:rFonts w:hint="eastAsia" w:eastAsia="宋体" w:cs="Arial"/>
          <w:b/>
          <w:bCs w:val="0"/>
          <w:color w:val="auto"/>
          <w:lang w:val="en-US" w:eastAsia="zh-CN" w:bidi="ar-SA"/>
        </w:rPr>
        <w:t>.</w:t>
      </w:r>
    </w:p>
    <w:p>
      <w:pPr>
        <w:pStyle w:val="2"/>
        <w:rPr>
          <w:rFonts w:hint="eastAsia" w:eastAsia="宋体" w:cs="Arial"/>
          <w:b/>
          <w:bCs w:val="0"/>
          <w:color w:val="auto"/>
          <w:lang w:val="en-US" w:eastAsia="zh-CN" w:bidi="ar-SA"/>
        </w:rPr>
      </w:pPr>
    </w:p>
    <w:p>
      <w:pPr>
        <w:rPr>
          <w:b/>
          <w:bCs w:val="0"/>
        </w:rPr>
      </w:pPr>
      <w:r>
        <w:rPr>
          <w:b/>
          <w:bCs w:val="0"/>
        </w:rPr>
        <w:t>2. Actions:</w:t>
      </w:r>
    </w:p>
    <w:p>
      <w:pPr>
        <w:rPr>
          <w:rFonts w:hint="eastAsia" w:eastAsia="宋体"/>
          <w:b/>
          <w:bCs/>
          <w:lang w:val="en-US" w:eastAsia="zh-CN"/>
        </w:rPr>
      </w:pPr>
      <w:r>
        <w:rPr>
          <w:b/>
          <w:bCs/>
        </w:rPr>
        <w:t xml:space="preserve">To </w:t>
      </w:r>
      <w:r>
        <w:rPr>
          <w:rFonts w:hint="eastAsia"/>
          <w:b/>
          <w:bCs/>
        </w:rPr>
        <w:t>RAN</w:t>
      </w:r>
      <w:r>
        <w:rPr>
          <w:rFonts w:hint="eastAsia" w:eastAsia="宋体"/>
          <w:b/>
          <w:bCs/>
          <w:lang w:val="en-US" w:eastAsia="zh-CN"/>
        </w:rPr>
        <w:t>2</w:t>
      </w:r>
    </w:p>
    <w:p>
      <w:pPr>
        <w:rPr>
          <w:rFonts w:hint="eastAsia" w:eastAsia="宋体"/>
          <w:b/>
          <w:bCs/>
          <w:lang w:val="en-US" w:eastAsia="zh-CN"/>
        </w:rPr>
      </w:pPr>
      <w:r>
        <w:rPr>
          <w:rFonts w:eastAsia="Yu Mincho"/>
          <w:b/>
          <w:bCs/>
          <w:lang w:eastAsia="ja-JP"/>
        </w:rPr>
        <w:t xml:space="preserve">ACTION: </w:t>
      </w:r>
      <w:r>
        <w:rPr>
          <w:rFonts w:hint="eastAsia" w:eastAsia="Yu Mincho"/>
          <w:b/>
          <w:bCs/>
          <w:lang w:eastAsia="ja-JP"/>
        </w:rPr>
        <w:t xml:space="preserve">Please </w:t>
      </w:r>
      <w:r>
        <w:rPr>
          <w:rFonts w:hint="eastAsia" w:eastAsia="宋体"/>
          <w:b/>
          <w:bCs/>
          <w:lang w:val="en-US" w:eastAsia="zh-CN"/>
        </w:rPr>
        <w:t xml:space="preserve">RAN2 </w:t>
      </w:r>
      <w:r>
        <w:rPr>
          <w:rFonts w:hint="eastAsia" w:eastAsia="Yu Mincho"/>
          <w:b/>
          <w:bCs/>
          <w:lang w:eastAsia="ja-JP"/>
        </w:rPr>
        <w:t>take the above answer into consideration</w:t>
      </w:r>
      <w:r>
        <w:rPr>
          <w:rFonts w:hint="eastAsia" w:eastAsia="宋体"/>
          <w:b/>
          <w:bCs/>
          <w:lang w:val="en-US" w:eastAsia="zh-CN"/>
        </w:rPr>
        <w:t>.</w:t>
      </w:r>
    </w:p>
    <w:p>
      <w:pPr>
        <w:rPr>
          <w:lang w:eastAsia="ja-JP"/>
        </w:rPr>
      </w:pPr>
    </w:p>
    <w:p>
      <w:pPr>
        <w:rPr>
          <w:rFonts w:eastAsia="MS Mincho"/>
          <w:b/>
          <w:bCs w:val="0"/>
          <w:lang w:eastAsia="ja-JP"/>
        </w:rPr>
      </w:pPr>
      <w:r>
        <w:rPr>
          <w:rFonts w:eastAsia="MS Mincho"/>
          <w:b/>
          <w:bCs w:val="0"/>
          <w:lang w:eastAsia="ja-JP"/>
        </w:rPr>
        <w:t>3</w:t>
      </w:r>
      <w:r>
        <w:rPr>
          <w:b/>
          <w:bCs w:val="0"/>
        </w:rPr>
        <w:t>. Date of Next RAN WG</w:t>
      </w:r>
      <w:r>
        <w:rPr>
          <w:rFonts w:hint="eastAsia" w:eastAsia="宋体"/>
          <w:b/>
          <w:bCs w:val="0"/>
          <w:lang w:val="en-US" w:eastAsia="zh-CN"/>
        </w:rPr>
        <w:t>3</w:t>
      </w:r>
      <w:r>
        <w:rPr>
          <w:b/>
          <w:bCs w:val="0"/>
        </w:rPr>
        <w:t xml:space="preserve"> Meetings:</w:t>
      </w:r>
    </w:p>
    <w:p>
      <w:pPr>
        <w:pStyle w:val="2"/>
        <w:rPr>
          <w:rFonts w:hint="default" w:ascii="Arial" w:hAnsi="Arial" w:eastAsia="宋体" w:cs="Times New Roman"/>
          <w:color w:val="auto"/>
          <w:lang w:val="en-US" w:eastAsia="zh-CN" w:bidi="ar-SA"/>
        </w:rPr>
      </w:pPr>
      <w:r>
        <w:rPr>
          <w:rFonts w:hint="default" w:ascii="Arial" w:hAnsi="Arial" w:eastAsia="宋体" w:cs="Times New Roman"/>
          <w:color w:val="auto"/>
          <w:lang w:val="en-US" w:eastAsia="zh-CN" w:bidi="ar-SA"/>
        </w:rPr>
        <w:t>RAN3#125</w:t>
      </w:r>
      <w:r>
        <w:rPr>
          <w:rFonts w:hint="eastAsia" w:ascii="Arial" w:hAnsi="Arial" w:eastAsia="宋体" w:cs="Times New Roman"/>
          <w:color w:val="auto"/>
          <w:lang w:val="en-US" w:eastAsia="zh-CN" w:bidi="ar-SA"/>
        </w:rPr>
        <w:t xml:space="preserve"> 19</w:t>
      </w:r>
      <w:r>
        <w:rPr>
          <w:rFonts w:hint="eastAsia" w:eastAsia="宋体" w:cs="Times New Roman"/>
          <w:color w:val="auto"/>
          <w:lang w:val="en-US" w:eastAsia="zh-CN" w:bidi="ar-SA"/>
        </w:rPr>
        <w:t>-23</w:t>
      </w:r>
      <w:r>
        <w:rPr>
          <w:rFonts w:hint="eastAsia" w:ascii="Arial" w:hAnsi="Arial" w:eastAsia="宋体" w:cs="Times New Roman"/>
          <w:color w:val="auto"/>
          <w:lang w:val="en-US" w:eastAsia="zh-CN" w:bidi="ar-SA"/>
        </w:rPr>
        <w:t xml:space="preserve"> Aug 2024</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1">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4">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5">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pStyle w:val="233"/>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09825F5"/>
    <w:multiLevelType w:val="multilevel"/>
    <w:tmpl w:val="509825F5"/>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1">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4"/>
  </w:num>
  <w:num w:numId="3">
    <w:abstractNumId w:val="8"/>
  </w:num>
  <w:num w:numId="4">
    <w:abstractNumId w:val="0"/>
  </w:num>
  <w:num w:numId="5">
    <w:abstractNumId w:val="2"/>
  </w:num>
  <w:num w:numId="6">
    <w:abstractNumId w:val="3"/>
  </w:num>
  <w:num w:numId="7">
    <w:abstractNumId w:val="10"/>
  </w:num>
  <w:num w:numId="8">
    <w:abstractNumId w:val="1"/>
  </w:num>
  <w:num w:numId="9">
    <w:abstractNumId w:val="11"/>
  </w:num>
  <w:num w:numId="10">
    <w:abstractNumId w:val="6"/>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99488A"/>
    <w:rsid w:val="02BC0EFA"/>
    <w:rsid w:val="03434282"/>
    <w:rsid w:val="037A1943"/>
    <w:rsid w:val="041B7488"/>
    <w:rsid w:val="05DC112D"/>
    <w:rsid w:val="07501162"/>
    <w:rsid w:val="078129DF"/>
    <w:rsid w:val="090E377A"/>
    <w:rsid w:val="0933642F"/>
    <w:rsid w:val="0A937AE7"/>
    <w:rsid w:val="0AA73325"/>
    <w:rsid w:val="0AEB17FA"/>
    <w:rsid w:val="0D41033B"/>
    <w:rsid w:val="0DD15D3A"/>
    <w:rsid w:val="110A7C9C"/>
    <w:rsid w:val="11E53DF2"/>
    <w:rsid w:val="13C46D70"/>
    <w:rsid w:val="14ED4E63"/>
    <w:rsid w:val="155C05CA"/>
    <w:rsid w:val="15685244"/>
    <w:rsid w:val="15AF1251"/>
    <w:rsid w:val="15D46C53"/>
    <w:rsid w:val="16DB6C0C"/>
    <w:rsid w:val="17672074"/>
    <w:rsid w:val="17752F7D"/>
    <w:rsid w:val="177A4F52"/>
    <w:rsid w:val="177F291A"/>
    <w:rsid w:val="17DF01D3"/>
    <w:rsid w:val="18127F8E"/>
    <w:rsid w:val="185F480A"/>
    <w:rsid w:val="1AF058DD"/>
    <w:rsid w:val="1B983770"/>
    <w:rsid w:val="1E81151C"/>
    <w:rsid w:val="1FAE61A2"/>
    <w:rsid w:val="20857668"/>
    <w:rsid w:val="21AF5E51"/>
    <w:rsid w:val="21B57D5A"/>
    <w:rsid w:val="226C1A87"/>
    <w:rsid w:val="229067C3"/>
    <w:rsid w:val="22A81B30"/>
    <w:rsid w:val="22CE0575"/>
    <w:rsid w:val="23503E27"/>
    <w:rsid w:val="238D4F24"/>
    <w:rsid w:val="24D17434"/>
    <w:rsid w:val="24D83C81"/>
    <w:rsid w:val="251A5054"/>
    <w:rsid w:val="265569C6"/>
    <w:rsid w:val="26D608D1"/>
    <w:rsid w:val="29337116"/>
    <w:rsid w:val="2A1A4AF6"/>
    <w:rsid w:val="2A3761D9"/>
    <w:rsid w:val="2AC90642"/>
    <w:rsid w:val="2AD718F9"/>
    <w:rsid w:val="2B1E1178"/>
    <w:rsid w:val="2BC70258"/>
    <w:rsid w:val="2DA42F6E"/>
    <w:rsid w:val="2E7632C6"/>
    <w:rsid w:val="2EBD0FE3"/>
    <w:rsid w:val="308A64AF"/>
    <w:rsid w:val="31C857C5"/>
    <w:rsid w:val="3271734E"/>
    <w:rsid w:val="33146FFA"/>
    <w:rsid w:val="346C5312"/>
    <w:rsid w:val="34E15E4E"/>
    <w:rsid w:val="353F2ED0"/>
    <w:rsid w:val="35FC5CDA"/>
    <w:rsid w:val="361608D1"/>
    <w:rsid w:val="3697072A"/>
    <w:rsid w:val="36B018E4"/>
    <w:rsid w:val="36CE5325"/>
    <w:rsid w:val="37341EB3"/>
    <w:rsid w:val="37D30012"/>
    <w:rsid w:val="38715C39"/>
    <w:rsid w:val="3C6B7B28"/>
    <w:rsid w:val="3DB85870"/>
    <w:rsid w:val="3E0F406B"/>
    <w:rsid w:val="3E335A8E"/>
    <w:rsid w:val="40DF57B3"/>
    <w:rsid w:val="41A945C9"/>
    <w:rsid w:val="42C53A9C"/>
    <w:rsid w:val="44F53D30"/>
    <w:rsid w:val="46085C4D"/>
    <w:rsid w:val="462C1916"/>
    <w:rsid w:val="46674838"/>
    <w:rsid w:val="4750695B"/>
    <w:rsid w:val="48AC7F9D"/>
    <w:rsid w:val="48D52AE9"/>
    <w:rsid w:val="493D7EB8"/>
    <w:rsid w:val="49483D85"/>
    <w:rsid w:val="4C064611"/>
    <w:rsid w:val="4D5F057C"/>
    <w:rsid w:val="4E895E7E"/>
    <w:rsid w:val="4F2D5093"/>
    <w:rsid w:val="514B62D8"/>
    <w:rsid w:val="520D7F1F"/>
    <w:rsid w:val="5296438C"/>
    <w:rsid w:val="5397791C"/>
    <w:rsid w:val="53BD670D"/>
    <w:rsid w:val="53FE11A2"/>
    <w:rsid w:val="5498365B"/>
    <w:rsid w:val="556E6279"/>
    <w:rsid w:val="55E65D7D"/>
    <w:rsid w:val="564E529E"/>
    <w:rsid w:val="57C0559C"/>
    <w:rsid w:val="585225F3"/>
    <w:rsid w:val="58597995"/>
    <w:rsid w:val="58CF5440"/>
    <w:rsid w:val="58F40317"/>
    <w:rsid w:val="5B8E5344"/>
    <w:rsid w:val="5C4121CC"/>
    <w:rsid w:val="5D0F36D9"/>
    <w:rsid w:val="5D406F09"/>
    <w:rsid w:val="5D9F2A1E"/>
    <w:rsid w:val="5E7A57D9"/>
    <w:rsid w:val="5EA65556"/>
    <w:rsid w:val="60243CAF"/>
    <w:rsid w:val="617C4F8B"/>
    <w:rsid w:val="629B24FB"/>
    <w:rsid w:val="634C5EAC"/>
    <w:rsid w:val="64370627"/>
    <w:rsid w:val="64763283"/>
    <w:rsid w:val="66433CD3"/>
    <w:rsid w:val="67E64CF1"/>
    <w:rsid w:val="68E93B31"/>
    <w:rsid w:val="68F151AE"/>
    <w:rsid w:val="69016E0C"/>
    <w:rsid w:val="69136070"/>
    <w:rsid w:val="69BB34A3"/>
    <w:rsid w:val="6A421FE5"/>
    <w:rsid w:val="6B675B07"/>
    <w:rsid w:val="6BFF1D07"/>
    <w:rsid w:val="6C62044F"/>
    <w:rsid w:val="70FD4F33"/>
    <w:rsid w:val="71705FC9"/>
    <w:rsid w:val="72E63F22"/>
    <w:rsid w:val="73636360"/>
    <w:rsid w:val="73852935"/>
    <w:rsid w:val="75885C21"/>
    <w:rsid w:val="7623126D"/>
    <w:rsid w:val="76394804"/>
    <w:rsid w:val="769F26E3"/>
    <w:rsid w:val="79345466"/>
    <w:rsid w:val="79CA2BFE"/>
    <w:rsid w:val="7AB50B0C"/>
    <w:rsid w:val="7AFC0E37"/>
    <w:rsid w:val="7C677196"/>
    <w:rsid w:val="7D7E0172"/>
    <w:rsid w:val="7D894AA5"/>
    <w:rsid w:val="7E4145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basedOn w:val="1"/>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Contact"/>
    <w:qFormat/>
    <w:uiPriority w:val="0"/>
    <w:pPr>
      <w:numPr>
        <w:ilvl w:val="3"/>
        <w:numId w:val="11"/>
      </w:numPr>
      <w:tabs>
        <w:tab w:val="left" w:pos="2268"/>
        <w:tab w:val="left" w:pos="2694"/>
      </w:tabs>
      <w:spacing w:after="180"/>
      <w:ind w:left="567"/>
      <w:outlineLvl w:val="3"/>
    </w:pPr>
    <w:rPr>
      <w:rFonts w:ascii="Times New Roman" w:hAnsi="Times New Roman" w:eastAsia="宋体" w:cs="Arial"/>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datastoreItem>
</file>

<file path=customXml/itemProps2.xml><?xml version="1.0" encoding="utf-8"?>
<ds:datastoreItem xmlns:ds="http://schemas.openxmlformats.org/officeDocument/2006/customXml" ds:itemID="{CF43747F-FDDF-4B81-8892-9D32FF04C960}">
  <ds:schemaRefs/>
</ds:datastoreItem>
</file>

<file path=customXml/itemProps3.xml><?xml version="1.0" encoding="utf-8"?>
<ds:datastoreItem xmlns:ds="http://schemas.openxmlformats.org/officeDocument/2006/customXml" ds:itemID="{DBD1373D-E157-4BD5-96E1-C57BD7F0CB26}">
  <ds:schemaRefs/>
</ds:datastoreItem>
</file>

<file path=customXml/itemProps4.xml><?xml version="1.0" encoding="utf-8"?>
<ds:datastoreItem xmlns:ds="http://schemas.openxmlformats.org/officeDocument/2006/customXml" ds:itemID="{D3E347A6-99F7-4393-BC43-7C8E85653A27}">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9</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ZTE-Dapeng</cp:lastModifiedBy>
  <cp:lastPrinted>2018-05-22T10:28:00Z</cp:lastPrinted>
  <dcterms:modified xsi:type="dcterms:W3CDTF">2024-05-10T06:01:44Z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AA6E5C8F423B4EB18A662B73B3A0517A</vt:lpwstr>
  </property>
</Properties>
</file>